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7" w:rsidRPr="00EA07A7" w:rsidRDefault="003C4037" w:rsidP="003C4037">
      <w:pPr>
        <w:pStyle w:val="BodyTextInden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SILABUS </w:t>
      </w:r>
    </w:p>
    <w:p w:rsidR="003C4037" w:rsidRDefault="003C4037" w:rsidP="003C4037">
      <w:pPr>
        <w:pStyle w:val="BodyTextIndent"/>
        <w:ind w:left="0"/>
        <w:jc w:val="center"/>
        <w:rPr>
          <w:b/>
          <w:bCs/>
        </w:rPr>
      </w:pP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1. Identifikasi Mata Kuliah </w:t>
      </w: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>
        <w:rPr>
          <w:b/>
          <w:bCs/>
        </w:rPr>
        <w:tab/>
      </w:r>
      <w:r w:rsidRPr="001B12BB">
        <w:t xml:space="preserve">Mata Kuliah </w:t>
      </w:r>
      <w:r w:rsidRPr="001B12BB">
        <w:tab/>
        <w:t xml:space="preserve">:  Hukum Islam 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 xml:space="preserve">Nomor Kode </w:t>
      </w:r>
      <w:r w:rsidRPr="001B12BB">
        <w:tab/>
        <w:t>:  KN 202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>Jumlah SKS</w:t>
      </w:r>
      <w:r w:rsidRPr="001B12BB">
        <w:tab/>
        <w:t>:  2 SKS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>Semester</w:t>
      </w:r>
      <w:r w:rsidRPr="001B12BB">
        <w:tab/>
        <w:t>:  3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>Kelompok Mata Kuliah</w:t>
      </w:r>
      <w:r w:rsidRPr="001B12BB">
        <w:tab/>
        <w:t>:  MKK Program Studi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 xml:space="preserve">Program studi/Program </w:t>
      </w:r>
      <w:r w:rsidRPr="001B12BB">
        <w:tab/>
        <w:t>:  PKn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>Status Mata Kuliah</w:t>
      </w:r>
      <w:r w:rsidRPr="001B12BB">
        <w:tab/>
        <w:t>:  Mata Kuliah Wajib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  <w:ind w:left="0"/>
      </w:pPr>
      <w:r w:rsidRPr="001B12BB">
        <w:tab/>
        <w:t>Prasyarat</w:t>
      </w:r>
      <w:r w:rsidRPr="001B12BB">
        <w:tab/>
        <w:t>:  telah lulus : - Mata Kuliah PIH, dan PHI</w:t>
      </w:r>
    </w:p>
    <w:p w:rsidR="003C4037" w:rsidRPr="00845C82" w:rsidRDefault="003C4037" w:rsidP="003C4037">
      <w:pPr>
        <w:pStyle w:val="BodyTextIndent"/>
        <w:tabs>
          <w:tab w:val="left" w:pos="840"/>
          <w:tab w:val="left" w:pos="3600"/>
        </w:tabs>
        <w:rPr>
          <w:lang w:val="en-US"/>
        </w:rPr>
      </w:pPr>
      <w:r w:rsidRPr="001B12BB">
        <w:tab/>
        <w:t>Dosen</w:t>
      </w:r>
      <w:r w:rsidRPr="001B12BB">
        <w:tab/>
        <w:t xml:space="preserve">:  </w:t>
      </w:r>
      <w:r w:rsidR="00845C82">
        <w:rPr>
          <w:lang w:val="en-US"/>
        </w:rPr>
        <w:t xml:space="preserve">Drs. </w:t>
      </w:r>
      <w:r w:rsidR="00845C82">
        <w:t>Muhammad Halimi, M.Pd</w:t>
      </w:r>
      <w:r w:rsidR="00845C82">
        <w:rPr>
          <w:lang w:val="en-US"/>
        </w:rPr>
        <w:t>.</w:t>
      </w:r>
    </w:p>
    <w:p w:rsidR="003C4037" w:rsidRPr="001B12BB" w:rsidRDefault="003C4037" w:rsidP="003C4037">
      <w:pPr>
        <w:pStyle w:val="BodyTextIndent"/>
        <w:tabs>
          <w:tab w:val="left" w:pos="840"/>
          <w:tab w:val="left" w:pos="3600"/>
        </w:tabs>
      </w:pPr>
      <w:r>
        <w:t xml:space="preserve">                         </w:t>
      </w:r>
      <w:r w:rsidR="00845C82">
        <w:t xml:space="preserve">                          </w:t>
      </w:r>
      <w:r>
        <w:t>Susan Fitriasari, S.Pd.,M.Pd.</w:t>
      </w:r>
    </w:p>
    <w:p w:rsidR="003C4037" w:rsidRPr="009352EC" w:rsidRDefault="003C4037" w:rsidP="003C4037">
      <w:pPr>
        <w:pStyle w:val="BodyTextIndent"/>
        <w:ind w:left="0"/>
        <w:rPr>
          <w:b/>
          <w:bCs/>
        </w:rPr>
      </w:pPr>
    </w:p>
    <w:p w:rsidR="003C4037" w:rsidRDefault="003C4037" w:rsidP="003C4037">
      <w:pPr>
        <w:pStyle w:val="BodyTextIndent"/>
        <w:ind w:left="0"/>
        <w:rPr>
          <w:b/>
          <w:bCs/>
        </w:rPr>
      </w:pP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>2. Tujuan</w:t>
      </w: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</w:t>
      </w:r>
    </w:p>
    <w:p w:rsidR="003C4037" w:rsidRDefault="003C4037" w:rsidP="003C4037">
      <w:pPr>
        <w:ind w:left="240"/>
        <w:jc w:val="both"/>
      </w:pPr>
      <w:r>
        <w:t>Selesai perkuliahan ini, mahasiswa diharapkan mampu menjelaskan dan sekaligus mampu menerapkan prinsip-prinsip tentang syariat dan fiqih (secara khusus sebagian dari bagian muamalat). Yang menyangkut berbagai materi antara lain meliputi : pengertian Syariat dan Fiqih; Pembentukan Budaya Masyarakat Muslim; Perbedaan antara Syariat dan Fiqih;  Ushul Fiqih dan Pembahasan lainnya dalam Ushul Fiqih; Sumber-Sumber Hukum Islam; Munakahat beserta konsekuensinya; Pembinaan Keluarga Sakinah; Masalah Pembagian Harta (Ilmu Warits/Faroid), pengertian dan tata cara perhitungannya; Undang-Undang No. I Tahun 1974 tentang perkawinan; Fungsi BP4; Fungsi Peradilan Agama beserta tata cara penyelesaian perkara-perkaranya; Masalah-masalah Kontemporer  Perkembangan Hukum Islam.</w:t>
      </w:r>
    </w:p>
    <w:p w:rsidR="003C4037" w:rsidRDefault="003C4037" w:rsidP="003C4037">
      <w:pPr>
        <w:jc w:val="both"/>
      </w:pPr>
    </w:p>
    <w:p w:rsidR="003C4037" w:rsidRDefault="003C4037" w:rsidP="003C4037">
      <w:pPr>
        <w:jc w:val="both"/>
        <w:rPr>
          <w:b/>
          <w:bCs/>
        </w:rPr>
      </w:pPr>
      <w:r>
        <w:rPr>
          <w:b/>
          <w:bCs/>
        </w:rPr>
        <w:t>3. Deskripsi</w:t>
      </w:r>
    </w:p>
    <w:p w:rsidR="003C4037" w:rsidRDefault="003C4037" w:rsidP="003C4037">
      <w:pPr>
        <w:ind w:left="240"/>
        <w:jc w:val="both"/>
      </w:pPr>
    </w:p>
    <w:p w:rsidR="003C4037" w:rsidRDefault="003C4037" w:rsidP="003C4037">
      <w:pPr>
        <w:ind w:left="240"/>
        <w:jc w:val="both"/>
      </w:pPr>
      <w:r>
        <w:t xml:space="preserve">Mata kuliah ini merupakan mata kuliah wajib pada program S-1. Mata kuliah ini diambil oleh mahasiswa setelah menyelesaikan dan lulus mata-mata kuliah prasyarat (PIH dan PHI). Selesai perkuliahan ini, mahasiswa diharapkan mampu menjelaskan dan sekaligus mampu menerapkan prinsip-prinsip tentang syariat dan fiqih (secara khusus sebagian dari bagian muamalat). </w:t>
      </w:r>
    </w:p>
    <w:p w:rsidR="003C4037" w:rsidRDefault="003C4037" w:rsidP="003C4037">
      <w:pPr>
        <w:ind w:left="240"/>
        <w:jc w:val="both"/>
      </w:pPr>
      <w:r>
        <w:t>Hal ini dimaksudkan tidak lain dalam rangka memberikan bekal sejumlah pengetahuan dan kemampuan mahasiswa sebagai calon tenaga kependidikan pada tingkat persekolahan atau lembaga-lembaga lainnya di luar kependidikan, dan sekaligus membina warga negara dan warga masyarakat secara paripurna, yang memiliki wawasan pengetahuan umum dan keagamaan sekaligus.</w:t>
      </w:r>
    </w:p>
    <w:p w:rsidR="003C4037" w:rsidRDefault="003C4037" w:rsidP="003C4037">
      <w:pPr>
        <w:ind w:left="240"/>
        <w:jc w:val="both"/>
      </w:pPr>
      <w:r>
        <w:t xml:space="preserve">Berbagai materi yang dibahas dalam mata kuliah ini, yakni meliputi : pengertian Syariat dan Fiqih; Pembentukan Budaya Masyarakat Muslim; Perbedaan antara Syariat dan Fiqih;  Ushul Fiqih dan Pembahasan lainnya dalam Ushul Fiqih; Sumber-Sumber Hukum Islam; Munakahat beserta konsekuensinya; Pembinaan Keluarga Sakinah; Masalah Pembagian Harta (Ilmu Warits/Faroid), pengertian dan tata cara perhitungannya; Undang-Undang No. I Tahun 1974 </w:t>
      </w:r>
      <w:r>
        <w:lastRenderedPageBreak/>
        <w:t>tentang perkawinan; Fungsi BP4; Fungsi Peradilan Agama beserta tata cara penyelesaian perkara-perkaranya; Masalah-masalah Kontemporer  Perkembangan Hukum Islam.</w:t>
      </w:r>
    </w:p>
    <w:p w:rsidR="003C4037" w:rsidRDefault="003C4037" w:rsidP="003C4037">
      <w:pPr>
        <w:ind w:left="240"/>
        <w:jc w:val="both"/>
      </w:pPr>
      <w:r>
        <w:t>Perkuliahan dilakukan melalui berbagai pendekatan dan metode pembelajaran, yakni meliputi : ceramah bervariasi, tanya jawab, diskusi, studi lapangan, serta berbagai tugas-tugas termasuk di dalamnya observasi lapangan.</w:t>
      </w:r>
    </w:p>
    <w:p w:rsidR="003C4037" w:rsidRDefault="003C4037" w:rsidP="003C4037">
      <w:pPr>
        <w:ind w:left="240"/>
        <w:jc w:val="both"/>
      </w:pPr>
      <w:r>
        <w:t>Proses penilaian meliputi beberapa komponen, untuk dijadikan sebagai patokan menentukan kelulusan para peserta didik, antara lain meliputi :</w:t>
      </w:r>
    </w:p>
    <w:p w:rsidR="003C4037" w:rsidRDefault="003C4037" w:rsidP="003C4037">
      <w:pPr>
        <w:numPr>
          <w:ilvl w:val="0"/>
          <w:numId w:val="2"/>
        </w:numPr>
        <w:tabs>
          <w:tab w:val="clear" w:pos="720"/>
          <w:tab w:val="left" w:pos="600"/>
        </w:tabs>
        <w:ind w:left="600"/>
        <w:jc w:val="both"/>
      </w:pPr>
      <w:r>
        <w:t>Persentase perkuliahan/kehadiran mahasiswa dalam perkuliahan sebagai syarat untuk dapat mengikuti ujian tengah semester dan ujian akhir semester.</w:t>
      </w:r>
    </w:p>
    <w:p w:rsidR="003C4037" w:rsidRDefault="003C4037" w:rsidP="003C4037">
      <w:pPr>
        <w:numPr>
          <w:ilvl w:val="0"/>
          <w:numId w:val="2"/>
        </w:numPr>
        <w:tabs>
          <w:tab w:val="clear" w:pos="720"/>
          <w:tab w:val="left" w:pos="600"/>
        </w:tabs>
        <w:ind w:left="600"/>
        <w:jc w:val="both"/>
      </w:pPr>
      <w:r>
        <w:t>Ujian tengan semester.</w:t>
      </w:r>
    </w:p>
    <w:p w:rsidR="003C4037" w:rsidRDefault="003C4037" w:rsidP="003C4037">
      <w:pPr>
        <w:numPr>
          <w:ilvl w:val="0"/>
          <w:numId w:val="2"/>
        </w:numPr>
        <w:tabs>
          <w:tab w:val="clear" w:pos="720"/>
          <w:tab w:val="left" w:pos="600"/>
        </w:tabs>
        <w:ind w:left="600"/>
        <w:jc w:val="both"/>
      </w:pPr>
      <w:r>
        <w:t>Ujian akhir semester</w:t>
      </w:r>
    </w:p>
    <w:p w:rsidR="003C4037" w:rsidRDefault="003C4037" w:rsidP="003C4037">
      <w:pPr>
        <w:numPr>
          <w:ilvl w:val="0"/>
          <w:numId w:val="2"/>
        </w:numPr>
        <w:tabs>
          <w:tab w:val="clear" w:pos="720"/>
          <w:tab w:val="left" w:pos="600"/>
        </w:tabs>
        <w:ind w:left="600"/>
        <w:jc w:val="both"/>
      </w:pPr>
      <w:r>
        <w:t>tugas-tugas, yang meliputi :</w:t>
      </w:r>
    </w:p>
    <w:p w:rsidR="003C4037" w:rsidRDefault="003C4037" w:rsidP="003C4037">
      <w:pPr>
        <w:numPr>
          <w:ilvl w:val="1"/>
          <w:numId w:val="2"/>
        </w:numPr>
        <w:tabs>
          <w:tab w:val="clear" w:pos="1440"/>
          <w:tab w:val="num" w:pos="960"/>
        </w:tabs>
        <w:ind w:left="960"/>
        <w:jc w:val="both"/>
      </w:pPr>
      <w:r>
        <w:t>Tugas individu</w:t>
      </w:r>
    </w:p>
    <w:p w:rsidR="003C4037" w:rsidRDefault="003C4037" w:rsidP="003C4037">
      <w:pPr>
        <w:numPr>
          <w:ilvl w:val="1"/>
          <w:numId w:val="2"/>
        </w:numPr>
        <w:tabs>
          <w:tab w:val="clear" w:pos="1440"/>
          <w:tab w:val="num" w:pos="960"/>
        </w:tabs>
        <w:ind w:left="960"/>
        <w:jc w:val="both"/>
      </w:pPr>
      <w:r>
        <w:t>Tugas kelompok</w:t>
      </w:r>
    </w:p>
    <w:p w:rsidR="003C4037" w:rsidRDefault="003C4037" w:rsidP="003C4037">
      <w:pPr>
        <w:numPr>
          <w:ilvl w:val="1"/>
          <w:numId w:val="2"/>
        </w:numPr>
        <w:tabs>
          <w:tab w:val="clear" w:pos="1440"/>
          <w:tab w:val="num" w:pos="960"/>
        </w:tabs>
        <w:ind w:left="960"/>
        <w:jc w:val="both"/>
      </w:pPr>
      <w:r>
        <w:t>Tugas-tugas diskusi</w:t>
      </w:r>
    </w:p>
    <w:p w:rsidR="003C4037" w:rsidRDefault="003C4037" w:rsidP="003C4037">
      <w:pPr>
        <w:jc w:val="both"/>
      </w:pPr>
    </w:p>
    <w:p w:rsidR="003C4037" w:rsidRDefault="003C4037" w:rsidP="003C4037">
      <w:pPr>
        <w:jc w:val="both"/>
        <w:rPr>
          <w:b/>
          <w:bCs/>
        </w:rPr>
      </w:pPr>
      <w:r>
        <w:rPr>
          <w:b/>
          <w:bCs/>
        </w:rPr>
        <w:t>4. Pendekatan Pembelajaran</w:t>
      </w:r>
    </w:p>
    <w:p w:rsidR="003C4037" w:rsidRDefault="003C4037" w:rsidP="003C4037">
      <w:pPr>
        <w:jc w:val="both"/>
      </w:pPr>
    </w:p>
    <w:p w:rsidR="003C4037" w:rsidRDefault="003C4037" w:rsidP="003C4037">
      <w:pPr>
        <w:ind w:left="240"/>
        <w:jc w:val="both"/>
      </w:pPr>
      <w:r>
        <w:t xml:space="preserve">Perkuliahan dilakukan melalui berbagai pendekatan dan metode pembelajaran, yakni meliputi : </w:t>
      </w:r>
    </w:p>
    <w:p w:rsidR="003C4037" w:rsidRDefault="003C4037" w:rsidP="003C4037">
      <w:pPr>
        <w:ind w:firstLine="240"/>
        <w:jc w:val="both"/>
        <w:rPr>
          <w:b/>
          <w:bCs/>
        </w:rPr>
      </w:pPr>
      <w:r>
        <w:rPr>
          <w:b/>
          <w:bCs/>
        </w:rPr>
        <w:t>Metode :</w:t>
      </w:r>
    </w:p>
    <w:p w:rsidR="003C4037" w:rsidRDefault="003C4037" w:rsidP="003C4037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 xml:space="preserve">ceramah bervariasi, </w:t>
      </w:r>
    </w:p>
    <w:p w:rsidR="003C4037" w:rsidRDefault="003C4037" w:rsidP="003C4037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 xml:space="preserve">tanya jawab, </w:t>
      </w:r>
    </w:p>
    <w:p w:rsidR="003C4037" w:rsidRDefault="003C4037" w:rsidP="003C4037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 xml:space="preserve">diskusi, </w:t>
      </w:r>
    </w:p>
    <w:p w:rsidR="003C4037" w:rsidRDefault="003C4037" w:rsidP="003C4037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>studi lapangan (observasi lapangan)</w:t>
      </w:r>
    </w:p>
    <w:p w:rsidR="003C4037" w:rsidRDefault="003C4037" w:rsidP="003C4037">
      <w:pPr>
        <w:jc w:val="both"/>
      </w:pPr>
    </w:p>
    <w:p w:rsidR="003C4037" w:rsidRDefault="003C4037" w:rsidP="003C4037">
      <w:pPr>
        <w:ind w:left="240"/>
        <w:jc w:val="both"/>
      </w:pPr>
      <w:r>
        <w:rPr>
          <w:b/>
          <w:bCs/>
        </w:rPr>
        <w:t>Tugas</w:t>
      </w:r>
      <w:r>
        <w:t xml:space="preserve"> </w:t>
      </w:r>
      <w:r>
        <w:tab/>
        <w:t>:  laporan hasil obervasi lapangan atau makalah</w:t>
      </w:r>
    </w:p>
    <w:p w:rsidR="003C4037" w:rsidRDefault="003C4037" w:rsidP="003C4037">
      <w:pPr>
        <w:tabs>
          <w:tab w:val="left" w:pos="720"/>
          <w:tab w:val="left" w:pos="1440"/>
        </w:tabs>
        <w:ind w:left="1680" w:hanging="1440"/>
        <w:jc w:val="both"/>
      </w:pPr>
      <w:r>
        <w:rPr>
          <w:b/>
          <w:bCs/>
        </w:rPr>
        <w:t>Media</w:t>
      </w:r>
      <w:r>
        <w:t xml:space="preserve"> </w:t>
      </w:r>
      <w:r>
        <w:tab/>
        <w:t>:</w:t>
      </w:r>
      <w:r>
        <w:tab/>
        <w:t xml:space="preserve">OHP, LCD dan Power Point, Pedoman observasi, Tabel-Tabel              Pembagian waris Islam </w:t>
      </w:r>
    </w:p>
    <w:p w:rsidR="003C4037" w:rsidRDefault="003C4037" w:rsidP="003C4037">
      <w:pPr>
        <w:jc w:val="both"/>
      </w:pPr>
    </w:p>
    <w:p w:rsidR="003C4037" w:rsidRDefault="003C4037" w:rsidP="003C4037">
      <w:pPr>
        <w:jc w:val="both"/>
      </w:pPr>
      <w:r>
        <w:rPr>
          <w:b/>
          <w:bCs/>
        </w:rPr>
        <w:t xml:space="preserve">5. Evaluasi </w:t>
      </w:r>
      <w:r>
        <w:t xml:space="preserve"> </w:t>
      </w:r>
    </w:p>
    <w:p w:rsidR="003C4037" w:rsidRDefault="003C4037" w:rsidP="003C4037">
      <w:pPr>
        <w:jc w:val="both"/>
      </w:pPr>
    </w:p>
    <w:p w:rsidR="003C4037" w:rsidRDefault="003C4037" w:rsidP="003C4037">
      <w:pPr>
        <w:ind w:left="240"/>
        <w:jc w:val="both"/>
      </w:pPr>
      <w:r>
        <w:t>Proses penilaian meliputi beberapa komponen, untuk dijadikan sebagai patokan menentukan kelulusan para peserta didik, antara lain meliputi :</w:t>
      </w:r>
    </w:p>
    <w:p w:rsidR="003C4037" w:rsidRDefault="003C4037" w:rsidP="003C4037">
      <w:pPr>
        <w:numPr>
          <w:ilvl w:val="0"/>
          <w:numId w:val="3"/>
        </w:numPr>
        <w:jc w:val="both"/>
      </w:pPr>
      <w:r>
        <w:t>Persentase perkuliahan/kehadiran mahasiswa dalam perkuliahan sebagai syarat untuk dapat mengikuti ujian tengah semester dan ujian akhir semester.</w:t>
      </w:r>
    </w:p>
    <w:p w:rsidR="003C4037" w:rsidRDefault="003C4037" w:rsidP="003C4037">
      <w:pPr>
        <w:numPr>
          <w:ilvl w:val="0"/>
          <w:numId w:val="3"/>
        </w:numPr>
        <w:jc w:val="both"/>
      </w:pPr>
      <w:r>
        <w:t>Ujian tengan semester.</w:t>
      </w:r>
    </w:p>
    <w:p w:rsidR="003C4037" w:rsidRDefault="003C4037" w:rsidP="003C4037">
      <w:pPr>
        <w:numPr>
          <w:ilvl w:val="0"/>
          <w:numId w:val="3"/>
        </w:numPr>
        <w:jc w:val="both"/>
      </w:pPr>
      <w:r>
        <w:t>Ujian akhir semester</w:t>
      </w:r>
    </w:p>
    <w:p w:rsidR="003C4037" w:rsidRDefault="003C4037" w:rsidP="003C4037">
      <w:pPr>
        <w:numPr>
          <w:ilvl w:val="0"/>
          <w:numId w:val="3"/>
        </w:numPr>
        <w:jc w:val="both"/>
      </w:pPr>
      <w:r>
        <w:t>tugas-tugas, yang meliputi :</w:t>
      </w:r>
    </w:p>
    <w:p w:rsidR="003C4037" w:rsidRDefault="003C4037" w:rsidP="003C4037">
      <w:pPr>
        <w:numPr>
          <w:ilvl w:val="1"/>
          <w:numId w:val="3"/>
        </w:numPr>
        <w:jc w:val="both"/>
      </w:pPr>
      <w:r>
        <w:t>Tugas individu</w:t>
      </w:r>
    </w:p>
    <w:p w:rsidR="003C4037" w:rsidRDefault="003C4037" w:rsidP="003C4037">
      <w:pPr>
        <w:numPr>
          <w:ilvl w:val="1"/>
          <w:numId w:val="3"/>
        </w:numPr>
        <w:jc w:val="both"/>
      </w:pPr>
      <w:r>
        <w:t>Tugas kelompok</w:t>
      </w:r>
    </w:p>
    <w:p w:rsidR="003C4037" w:rsidRDefault="003C4037" w:rsidP="003C4037">
      <w:pPr>
        <w:numPr>
          <w:ilvl w:val="1"/>
          <w:numId w:val="3"/>
        </w:numPr>
        <w:jc w:val="both"/>
      </w:pPr>
      <w:r>
        <w:t>Tugas-tugas diskusi</w:t>
      </w:r>
    </w:p>
    <w:p w:rsidR="003C4037" w:rsidRPr="00FF37FA" w:rsidRDefault="003C4037" w:rsidP="003C4037">
      <w:pPr>
        <w:numPr>
          <w:ilvl w:val="1"/>
          <w:numId w:val="3"/>
        </w:numPr>
        <w:jc w:val="both"/>
        <w:rPr>
          <w:bCs/>
        </w:rPr>
      </w:pPr>
      <w:r>
        <w:t>dan lainnya</w:t>
      </w:r>
    </w:p>
    <w:p w:rsidR="003C4037" w:rsidRDefault="003C4037" w:rsidP="003C4037">
      <w:pPr>
        <w:jc w:val="both"/>
      </w:pP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>6.  Rincian Materi Perkuliahan tiap pertemuan :</w:t>
      </w:r>
    </w:p>
    <w:p w:rsidR="003C4037" w:rsidRDefault="003C4037" w:rsidP="003C4037">
      <w:pPr>
        <w:pStyle w:val="BodyTextIndent"/>
        <w:ind w:left="0"/>
        <w:rPr>
          <w:b/>
          <w:bCs/>
        </w:rPr>
      </w:pP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lastRenderedPageBreak/>
        <w:t>Pertemuan   1</w:t>
      </w:r>
      <w:r>
        <w:tab/>
        <w:t>: Pengertian Syariat dan fiqih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 xml:space="preserve">Pertemuan   2 </w:t>
      </w:r>
      <w:r>
        <w:tab/>
        <w:t>: Al-Ahkamul Khomsah dalam ushul fiqih dan fiqih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 xml:space="preserve">Pertemuan   3 </w:t>
      </w:r>
      <w:r>
        <w:tab/>
        <w:t>: Sumber-sumber Hukum Islam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  4</w:t>
      </w:r>
      <w:r>
        <w:tab/>
        <w:t>: Ijtihad, Ittiba’ dan Taqlid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  5</w:t>
      </w:r>
      <w:r>
        <w:tab/>
        <w:t>: Perkawinan dan permasalahannya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  6</w:t>
      </w:r>
      <w:r>
        <w:tab/>
        <w:t>:</w:t>
      </w:r>
      <w:r>
        <w:tab/>
        <w:t>Syarat dan rukun Kawin, jenis perkawinan, perkawinan terlarang, dll.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  7</w:t>
      </w:r>
      <w:r>
        <w:tab/>
        <w:t xml:space="preserve">: Lanjutan pembahasan pertemuan ke 6,  dan masalah-masalah 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 xml:space="preserve">                          kontemporer dalam kehidupan bermasyarakat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 xml:space="preserve">Pertemuan   8 </w:t>
      </w:r>
      <w:r>
        <w:tab/>
        <w:t>: UTS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  9</w:t>
      </w:r>
      <w:r>
        <w:tab/>
        <w:t>: Thalaq dan pembagiannya serta jenisnya, dan akibat-akibat yang timbul dari terjadinya thalaq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10</w:t>
      </w:r>
      <w:r>
        <w:tab/>
        <w:t>:</w:t>
      </w:r>
      <w:r>
        <w:tab/>
        <w:t>Masa menunggu dan jenisnya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 xml:space="preserve">Pertemuan 11 </w:t>
      </w:r>
      <w:r>
        <w:tab/>
        <w:t>:</w:t>
      </w:r>
      <w:r>
        <w:tab/>
        <w:t>Pembinaan rumah tangga dan Masalah-masalah dalam membina rumah tangga, dan masalah-masalah kontemporer dalam rumah tangga dan lainnya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12</w:t>
      </w:r>
      <w:r>
        <w:tab/>
        <w:t>: Waris Islam (faroid)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13</w:t>
      </w:r>
      <w:r>
        <w:tab/>
        <w:t>: Syarat dan rukun waris, penentuan ahli waris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14</w:t>
      </w:r>
      <w:r>
        <w:tab/>
        <w:t>: Praktek pembagian waris dalam waris Islam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15</w:t>
      </w:r>
      <w:r>
        <w:tab/>
        <w:t>: Melanjutkan praktek pembagian waris dalam waris Islam</w:t>
      </w:r>
    </w:p>
    <w:p w:rsidR="003C4037" w:rsidRDefault="003C4037" w:rsidP="003C4037">
      <w:pPr>
        <w:pStyle w:val="BodyTextIndent"/>
        <w:tabs>
          <w:tab w:val="left" w:pos="1800"/>
        </w:tabs>
        <w:ind w:left="1920" w:hanging="1560"/>
      </w:pPr>
      <w:r>
        <w:t>Pertemuan 16</w:t>
      </w:r>
      <w:r>
        <w:tab/>
        <w:t>: UAS</w:t>
      </w:r>
    </w:p>
    <w:p w:rsidR="003C4037" w:rsidRDefault="003C4037" w:rsidP="003C4037">
      <w:pPr>
        <w:pStyle w:val="BodyTextIndent"/>
        <w:ind w:left="0"/>
      </w:pPr>
    </w:p>
    <w:p w:rsidR="003C4037" w:rsidRDefault="003C4037" w:rsidP="003C4037">
      <w:pPr>
        <w:pStyle w:val="BodyTextIndent"/>
        <w:ind w:left="0"/>
      </w:pPr>
    </w:p>
    <w:p w:rsidR="003C4037" w:rsidRDefault="003C4037" w:rsidP="003C4037">
      <w:pPr>
        <w:pStyle w:val="BodyTextIndent"/>
        <w:ind w:left="0"/>
        <w:rPr>
          <w:b/>
          <w:bCs/>
        </w:rPr>
      </w:pPr>
      <w:r>
        <w:rPr>
          <w:b/>
          <w:bCs/>
        </w:rPr>
        <w:t>7 Daftar Buku</w:t>
      </w:r>
    </w:p>
    <w:p w:rsidR="003C4037" w:rsidRDefault="003C4037" w:rsidP="003C4037">
      <w:pPr>
        <w:pStyle w:val="BodyTextIndent"/>
        <w:ind w:left="0"/>
        <w:rPr>
          <w:b/>
          <w:bCs/>
        </w:rPr>
      </w:pPr>
    </w:p>
    <w:p w:rsidR="003C4037" w:rsidRPr="00FF37FA" w:rsidRDefault="003C4037" w:rsidP="003C4037">
      <w:pPr>
        <w:pStyle w:val="BodyTextIndent"/>
        <w:ind w:left="0"/>
        <w:rPr>
          <w:b/>
        </w:rPr>
      </w:pPr>
      <w:r w:rsidRPr="00FF37FA">
        <w:rPr>
          <w:b/>
        </w:rPr>
        <w:t>Buku Utama :</w:t>
      </w:r>
    </w:p>
    <w:p w:rsidR="003C4037" w:rsidRDefault="003C4037" w:rsidP="003C4037">
      <w:pPr>
        <w:pStyle w:val="BodyTextIndent"/>
        <w:ind w:left="0"/>
        <w:rPr>
          <w:b/>
          <w:bCs/>
        </w:rPr>
      </w:pP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>Al-Qur’an dan terjemahnya.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A. Hanafie, (1993), </w:t>
      </w:r>
      <w:r w:rsidRPr="00B85FFA">
        <w:rPr>
          <w:i/>
        </w:rPr>
        <w:t>Usul Fiqh</w:t>
      </w:r>
      <w:r>
        <w:t>, Jakarta, Penerbit Widjaya.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>Ahmad Hanafie, (1986</w:t>
      </w:r>
      <w:r w:rsidRPr="00B85FFA">
        <w:t xml:space="preserve">),  </w:t>
      </w:r>
      <w:r w:rsidRPr="00B85FFA">
        <w:rPr>
          <w:i/>
        </w:rPr>
        <w:t>Pengantar dan Sejarah Hukum Islam</w:t>
      </w:r>
      <w:r w:rsidRPr="00B85FFA">
        <w:t>,</w:t>
      </w:r>
      <w:r>
        <w:t xml:space="preserve"> Jakarta, Bulan Bintang.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Abdullah Nashih Ulwan (terjemahan), (1992), </w:t>
      </w:r>
      <w:r w:rsidRPr="00B85FFA">
        <w:rPr>
          <w:i/>
        </w:rPr>
        <w:t>Pendidikan Anak Menurut Islam Jilid I-IV,</w:t>
      </w:r>
      <w:r>
        <w:t xml:space="preserve"> Bandung, Penerbit PT Remaja Rosdakarya.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Abdul Qadir Djaelani, (1995), </w:t>
      </w:r>
      <w:r w:rsidRPr="00B85FFA">
        <w:rPr>
          <w:i/>
        </w:rPr>
        <w:t>Keluarga Sakinah</w:t>
      </w:r>
      <w:r>
        <w:t>, Surabaya, PT Bina Ilmu.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H.S.A. Al-Hamdani, (1989), </w:t>
      </w:r>
      <w:r w:rsidRPr="00B85FFA">
        <w:rPr>
          <w:i/>
        </w:rPr>
        <w:t>Risalah Nikah</w:t>
      </w:r>
      <w:r>
        <w:rPr>
          <w:u w:val="single"/>
        </w:rPr>
        <w:t>,</w:t>
      </w:r>
      <w:r>
        <w:t xml:space="preserve"> Jakarta, Penerbit Pustaka Amani.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M.Ali As-Shabuni, (.........), </w:t>
      </w:r>
      <w:r w:rsidRPr="00B85FFA">
        <w:rPr>
          <w:i/>
        </w:rPr>
        <w:t>Hukum Waris Dalam Islam,</w:t>
      </w:r>
      <w:r>
        <w:t xml:space="preserve"> Bandung, Diponegoro.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Sayyid Sabiq (Edisi Bahasa Arab), (1981), </w:t>
      </w:r>
      <w:r w:rsidRPr="00B85FFA">
        <w:rPr>
          <w:i/>
        </w:rPr>
        <w:t>Fiqih Sunnah (Jilid I – III),</w:t>
      </w:r>
      <w:r>
        <w:rPr>
          <w:u w:val="single"/>
        </w:rPr>
        <w:t xml:space="preserve"> </w:t>
      </w:r>
      <w:r>
        <w:t>Libanon Beirut, Daarul Fiqri.</w:t>
      </w:r>
    </w:p>
    <w:p w:rsidR="003C4037" w:rsidRDefault="003C4037" w:rsidP="003C4037">
      <w:pPr>
        <w:pStyle w:val="BodyTextIndent"/>
        <w:ind w:left="0"/>
      </w:pPr>
    </w:p>
    <w:p w:rsidR="003C4037" w:rsidRPr="00FF37FA" w:rsidRDefault="003C4037" w:rsidP="003C4037">
      <w:pPr>
        <w:pStyle w:val="BodyTextIndent"/>
        <w:ind w:left="0"/>
        <w:rPr>
          <w:b/>
        </w:rPr>
      </w:pPr>
      <w:r w:rsidRPr="00FF37FA">
        <w:rPr>
          <w:b/>
        </w:rPr>
        <w:t>Buku Anjuran / Referensi</w:t>
      </w:r>
    </w:p>
    <w:p w:rsidR="003C4037" w:rsidRDefault="003C4037" w:rsidP="003C4037">
      <w:pPr>
        <w:pStyle w:val="BodyTextIndent"/>
        <w:numPr>
          <w:ilvl w:val="0"/>
          <w:numId w:val="4"/>
        </w:numPr>
      </w:pPr>
      <w:r>
        <w:t xml:space="preserve">Abdul Muhaimin As’ad, (1993), </w:t>
      </w:r>
      <w:r w:rsidRPr="00B85FFA">
        <w:rPr>
          <w:i/>
        </w:rPr>
        <w:t>Risalah Nikah Penuntun Perkawinan,</w:t>
      </w:r>
      <w:r>
        <w:t xml:space="preserve"> Surabaya, Penerbit PT Bintang terang.</w:t>
      </w:r>
    </w:p>
    <w:p w:rsidR="003C4037" w:rsidRDefault="003C4037" w:rsidP="003C4037">
      <w:pPr>
        <w:pStyle w:val="BodyTextIndent"/>
        <w:ind w:left="0"/>
      </w:pP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Amir Nartosedono, (1989), Apa dan Bagaimana Undang-Undang Perkawinan No.1, 1974, Semarang, Dahara Prize.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E.Z. Muttaaqien, (1996), Rumahku Surgaku, Nasihat dan Renungan, Bandung, Mizan.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Hasbi Ash Shiddieqy, (1981), Pengantar Hukum Islam Jilid I – II, Jakarta, Bulan Bintang.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Huda Khattab, (1996), Buku Pegangan Wanita Islam, Bandung, Mizan.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Hadiyah Salim, (1995), Memilih Pasangan Hidup, Bandung, CV Diponegoro.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lastRenderedPageBreak/>
        <w:t>Hasbullah Bakry, (1988), Pedoman Islam di Indonedsia, Penerbit Universitas Indonesia.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Masjfuk Zuhdi, 1989), Masalah Fiqihiyah, Kapita Selekta Hukum Islam, Jakarta MCMXCIV, CV Haji Masagung.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Miftah Faridl, (1986), Keluarga Bahagia, Bandung, Penerbit Pustaka.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M. Thalib, (1993), Perkawinan Menurut Islam, Surabaya, Al-Ikhlas.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________, (191995), tanggung Jawab Orang Tua Terhadap Anak, Yogyakarta, Pustaka SLI.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Moch. Anwar, (tanpa tahun), Hukum Perkawinan dalam Islam, dan Pelaksanaannya Berdasarkan UU Nomor 1/1974, Bandung, PT Alma’arif.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 xml:space="preserve">Moh. Anwar, (1981), Faraidl (Hukum Waris dalam Islam dan Masalah-Masalahnya), Surabaya, Al-Ikhlas. 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Muhammad Salam Makdur (alih bahasa Imron AM), (1990), Peradilan Dalam Islam, Surabaya, PT Bina Ilmu.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Nasir Bin Sulaiman, (1994), Sendi-Sendi Kebahagiaan Suami Istri, Jakarta, Pustaka Al-Kautsar.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Sulaiman Rasjid, (1976), Fiqih Islam,   Jakarta, Penerbit Attahiriyah.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Zaini Ahmad Noeh dan Abdul Basit Adnan, (1983), Sejarah Singkat Pengadilan Agama Islam Di Indonesia, Surabaya, PT Bina Ilmu.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Zain Badjeber dan Abdul Rahman Saleh, (tanpa tahun ), Undang-Undang Nomor 7 Tahun 1989 Tentang Peradilan Agama dan Komentar, Jakarta, Pustaka Amani.</w:t>
      </w:r>
    </w:p>
    <w:p w:rsidR="003C4037" w:rsidRPr="00B85FFA" w:rsidRDefault="003C4037" w:rsidP="003C4037">
      <w:pPr>
        <w:pStyle w:val="BodyTextIndent"/>
        <w:numPr>
          <w:ilvl w:val="0"/>
          <w:numId w:val="4"/>
        </w:numPr>
      </w:pPr>
      <w:r w:rsidRPr="00B85FFA">
        <w:t>Zainal Abidin Ahmad, (1974), Ushul Fiqih, Untuk Madrasah Aliyah Agama Islam negeri dan Yang Sederajat, Jakarta, Bulan Bintang.</w:t>
      </w:r>
    </w:p>
    <w:p w:rsidR="00373AFB" w:rsidRDefault="00373AFB"/>
    <w:sectPr w:rsidR="00373AFB" w:rsidSect="0037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839"/>
    <w:multiLevelType w:val="hybridMultilevel"/>
    <w:tmpl w:val="5B30C8F4"/>
    <w:lvl w:ilvl="0" w:tplc="1822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57803"/>
    <w:multiLevelType w:val="hybridMultilevel"/>
    <w:tmpl w:val="71BEEB36"/>
    <w:lvl w:ilvl="0" w:tplc="1822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B228D"/>
    <w:multiLevelType w:val="hybridMultilevel"/>
    <w:tmpl w:val="A1E2F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EC19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9480D"/>
    <w:multiLevelType w:val="hybridMultilevel"/>
    <w:tmpl w:val="D3A60EFC"/>
    <w:lvl w:ilvl="0" w:tplc="1822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4037"/>
    <w:rsid w:val="00030746"/>
    <w:rsid w:val="000753FE"/>
    <w:rsid w:val="001647F9"/>
    <w:rsid w:val="00216CCE"/>
    <w:rsid w:val="00236637"/>
    <w:rsid w:val="00373AFB"/>
    <w:rsid w:val="003C4037"/>
    <w:rsid w:val="005B1AFD"/>
    <w:rsid w:val="005F762A"/>
    <w:rsid w:val="006F0D19"/>
    <w:rsid w:val="0072322F"/>
    <w:rsid w:val="00845C82"/>
    <w:rsid w:val="00950079"/>
    <w:rsid w:val="00A42510"/>
    <w:rsid w:val="00D14CB2"/>
    <w:rsid w:val="00F118AA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37"/>
    <w:pPr>
      <w:spacing w:line="240" w:lineRule="auto"/>
    </w:pPr>
    <w:rPr>
      <w:rFonts w:eastAsia="Times New Roman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4037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C4037"/>
    <w:rPr>
      <w:rFonts w:eastAsia="Times New Roman"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PKn</dc:creator>
  <cp:lastModifiedBy>Jurusan PKn</cp:lastModifiedBy>
  <cp:revision>2</cp:revision>
  <dcterms:created xsi:type="dcterms:W3CDTF">2003-12-31T18:45:00Z</dcterms:created>
  <dcterms:modified xsi:type="dcterms:W3CDTF">2003-12-31T19:07:00Z</dcterms:modified>
</cp:coreProperties>
</file>